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592D63">
      <w:pPr>
        <w:ind w:left="720" w:right="1440"/>
        <w:jc w:val="center"/>
        <w:rPr>
          <w:rFonts w:ascii="Cambria" w:hAnsi="Cambria"/>
          <w:b/>
          <w:bCs/>
          <w:color w:val="000000"/>
          <w:szCs w:val="21"/>
        </w:rPr>
      </w:pPr>
      <w:r>
        <w:rPr>
          <w:rFonts w:ascii="Cambria" w:hAnsi="Cambria" w:hint="eastAsia"/>
          <w:b/>
          <w:bCs/>
          <w:color w:val="000000"/>
          <w:szCs w:val="21"/>
        </w:rPr>
        <w:t>附件一：</w:t>
      </w:r>
      <w:r>
        <w:rPr>
          <w:rFonts w:ascii="Cambria" w:hAnsi="Cambria" w:hint="eastAsia"/>
          <w:b/>
          <w:bCs/>
          <w:color w:val="000000"/>
          <w:szCs w:val="21"/>
        </w:rPr>
        <w:t xml:space="preserve"> Syllabus of the </w:t>
      </w:r>
      <w:r>
        <w:rPr>
          <w:rFonts w:ascii="Cambria" w:hAnsi="Cambria"/>
          <w:b/>
          <w:bCs/>
          <w:color w:val="000000"/>
          <w:szCs w:val="21"/>
        </w:rPr>
        <w:t>Seminar</w:t>
      </w:r>
    </w:p>
    <w:p w:rsidR="00592D63" w:rsidRDefault="00592D63">
      <w:pPr>
        <w:ind w:left="720" w:right="1440"/>
        <w:jc w:val="center"/>
        <w:rPr>
          <w:rFonts w:ascii="Cambria" w:hAnsi="Cambria"/>
          <w:bCs/>
          <w:color w:val="000000"/>
          <w:szCs w:val="21"/>
        </w:rPr>
      </w:pPr>
      <w:r>
        <w:rPr>
          <w:rFonts w:ascii="Cambria" w:hAnsi="Cambria"/>
          <w:bCs/>
          <w:color w:val="000000"/>
          <w:szCs w:val="21"/>
        </w:rPr>
        <w:t>Professor Amy S. Greenberg, Penn State University</w:t>
      </w:r>
    </w:p>
    <w:p w:rsidR="00592D63" w:rsidRDefault="00592D63">
      <w:pPr>
        <w:ind w:left="720" w:right="1440"/>
        <w:jc w:val="center"/>
        <w:rPr>
          <w:rFonts w:ascii="Cambria" w:hAnsi="Cambria"/>
          <w:bCs/>
          <w:color w:val="000000"/>
          <w:szCs w:val="21"/>
        </w:rPr>
      </w:pPr>
      <w:r>
        <w:rPr>
          <w:rFonts w:ascii="Cambria" w:hAnsi="Cambria"/>
          <w:bCs/>
          <w:color w:val="000000"/>
          <w:szCs w:val="21"/>
        </w:rPr>
        <w:t>Editor: The U.S. In the World book series, Cornell University Press</w:t>
      </w:r>
    </w:p>
    <w:p w:rsidR="00592D63" w:rsidRDefault="00592D63">
      <w:pPr>
        <w:ind w:left="720" w:right="1440"/>
        <w:jc w:val="center"/>
        <w:rPr>
          <w:rFonts w:ascii="Cambria" w:hAnsi="Cambria"/>
          <w:bCs/>
          <w:color w:val="000000"/>
          <w:szCs w:val="21"/>
        </w:rPr>
      </w:pPr>
    </w:p>
    <w:p w:rsidR="00592D63" w:rsidRDefault="00592D63">
      <w:pPr>
        <w:ind w:left="720" w:right="1440"/>
        <w:jc w:val="center"/>
        <w:rPr>
          <w:rFonts w:ascii="Cambria" w:hAnsi="Cambria"/>
          <w:bCs/>
          <w:color w:val="000000"/>
          <w:szCs w:val="21"/>
        </w:rPr>
      </w:pPr>
      <w:r>
        <w:rPr>
          <w:rFonts w:ascii="Cambria" w:hAnsi="Cambria"/>
          <w:bCs/>
          <w:color w:val="000000"/>
          <w:szCs w:val="21"/>
        </w:rPr>
        <w:t xml:space="preserve">Fujian Normal University </w:t>
      </w:r>
    </w:p>
    <w:p w:rsidR="00592D63" w:rsidRDefault="00592D63">
      <w:pPr>
        <w:ind w:left="720" w:right="1440"/>
        <w:jc w:val="center"/>
        <w:rPr>
          <w:rFonts w:ascii="Cambria" w:hAnsi="Cambria"/>
          <w:bCs/>
          <w:color w:val="000000"/>
          <w:szCs w:val="21"/>
        </w:rPr>
      </w:pPr>
      <w:r>
        <w:rPr>
          <w:rFonts w:ascii="Cambria" w:hAnsi="Cambria"/>
          <w:bCs/>
          <w:color w:val="000000"/>
          <w:szCs w:val="21"/>
        </w:rPr>
        <w:t>Summer, 2019</w:t>
      </w:r>
    </w:p>
    <w:p w:rsidR="00592D63" w:rsidRDefault="00592D63">
      <w:pPr>
        <w:ind w:right="1440"/>
        <w:rPr>
          <w:rFonts w:ascii="Cambria" w:hAnsi="Cambria"/>
          <w:b/>
          <w:bCs/>
          <w:color w:val="000000"/>
          <w:szCs w:val="21"/>
          <w:u w:val="single"/>
        </w:rPr>
      </w:pPr>
    </w:p>
    <w:p w:rsidR="00592D63" w:rsidRDefault="00592D63">
      <w:pPr>
        <w:ind w:left="720" w:right="1440" w:firstLineChars="200" w:firstLine="420"/>
        <w:rPr>
          <w:rFonts w:ascii="Cambria" w:hAnsi="Cambria"/>
          <w:bCs/>
          <w:color w:val="000000"/>
          <w:szCs w:val="21"/>
        </w:rPr>
      </w:pPr>
      <w:r>
        <w:rPr>
          <w:rFonts w:ascii="Cambria" w:hAnsi="Cambria"/>
          <w:bCs/>
          <w:color w:val="000000"/>
          <w:szCs w:val="21"/>
        </w:rPr>
        <w:t>This week-long seminar introduces students to recent trends in the historical study of early U.S. diplomacy. Five lectures, each focusing on a key theme animating current historiography of U.S. international relations and foreign encounters before 1900, will be followed by discussion of selected readings, and student presentations about their research. There will be one required reader of primary sources; other readings will be distributed to participants.</w:t>
      </w:r>
    </w:p>
    <w:p w:rsidR="00592D63" w:rsidRDefault="00592D63">
      <w:pPr>
        <w:ind w:right="1440"/>
        <w:rPr>
          <w:rFonts w:ascii="Cambria" w:hAnsi="Cambria"/>
          <w:bCs/>
          <w:color w:val="000000"/>
          <w:szCs w:val="21"/>
        </w:rPr>
      </w:pPr>
    </w:p>
    <w:p w:rsidR="00592D63" w:rsidRDefault="00592D63">
      <w:pPr>
        <w:ind w:left="720" w:right="1440" w:firstLineChars="150" w:firstLine="315"/>
        <w:rPr>
          <w:rFonts w:ascii="Cambria" w:hAnsi="Cambria"/>
          <w:bCs/>
          <w:color w:val="000000"/>
          <w:szCs w:val="21"/>
        </w:rPr>
      </w:pPr>
      <w:r>
        <w:rPr>
          <w:rFonts w:ascii="Cambria" w:hAnsi="Cambria"/>
          <w:bCs/>
          <w:color w:val="000000"/>
          <w:szCs w:val="21"/>
        </w:rPr>
        <w:t xml:space="preserve">Required volume: Amy S. Greenberg, </w:t>
      </w:r>
      <w:r>
        <w:rPr>
          <w:rFonts w:ascii="Cambria" w:hAnsi="Cambria"/>
          <w:bCs/>
          <w:i/>
          <w:color w:val="000000"/>
          <w:szCs w:val="21"/>
        </w:rPr>
        <w:t>Manifest Destiny and American Territorial Expansion: A Brief History with Documents</w:t>
      </w:r>
      <w:r>
        <w:rPr>
          <w:rFonts w:ascii="Cambria" w:hAnsi="Cambria"/>
          <w:bCs/>
          <w:color w:val="000000"/>
          <w:szCs w:val="21"/>
        </w:rPr>
        <w:t>, 2</w:t>
      </w:r>
      <w:r>
        <w:rPr>
          <w:rFonts w:ascii="Cambria" w:hAnsi="Cambria"/>
          <w:bCs/>
          <w:color w:val="000000"/>
          <w:szCs w:val="21"/>
          <w:vertAlign w:val="superscript"/>
        </w:rPr>
        <w:t>nd</w:t>
      </w:r>
      <w:r>
        <w:rPr>
          <w:rFonts w:ascii="Cambria" w:hAnsi="Cambria"/>
          <w:bCs/>
          <w:color w:val="000000"/>
          <w:szCs w:val="21"/>
        </w:rPr>
        <w:t xml:space="preserve"> edition</w:t>
      </w:r>
      <w:r>
        <w:rPr>
          <w:rFonts w:ascii="Cambria" w:hAnsi="Cambria"/>
          <w:bCs/>
          <w:i/>
          <w:color w:val="000000"/>
          <w:szCs w:val="21"/>
        </w:rPr>
        <w:t xml:space="preserve"> </w:t>
      </w:r>
      <w:r>
        <w:rPr>
          <w:rFonts w:ascii="Cambria" w:hAnsi="Cambria"/>
          <w:bCs/>
          <w:color w:val="000000"/>
          <w:szCs w:val="21"/>
        </w:rPr>
        <w:t>(Bedford Books: St. Martin’s Press, 2017).</w:t>
      </w:r>
    </w:p>
    <w:p w:rsidR="00592D63" w:rsidRDefault="00592D63">
      <w:pPr>
        <w:ind w:left="720" w:right="1440"/>
        <w:rPr>
          <w:rFonts w:ascii="Cambria" w:hAnsi="Cambria"/>
          <w:bCs/>
          <w:color w:val="000000"/>
          <w:szCs w:val="21"/>
        </w:rPr>
      </w:pPr>
    </w:p>
    <w:p w:rsidR="00592D63" w:rsidRDefault="00592D63">
      <w:pPr>
        <w:ind w:left="720" w:right="1440"/>
        <w:rPr>
          <w:rFonts w:ascii="Cambria" w:hAnsi="Cambria"/>
          <w:b/>
          <w:bCs/>
          <w:color w:val="000000"/>
          <w:szCs w:val="21"/>
        </w:rPr>
      </w:pPr>
      <w:r>
        <w:rPr>
          <w:rFonts w:ascii="Cambria" w:hAnsi="Cambria"/>
          <w:b/>
          <w:bCs/>
          <w:color w:val="000000"/>
          <w:szCs w:val="21"/>
        </w:rPr>
        <w:t>Lecture 1#: Can a “Weak” State Pursue a Strong Foreign Policy?</w:t>
      </w:r>
    </w:p>
    <w:p w:rsidR="00592D63" w:rsidRDefault="00592D63">
      <w:pPr>
        <w:ind w:left="720" w:right="1440" w:firstLineChars="150" w:firstLine="315"/>
        <w:rPr>
          <w:rFonts w:ascii="Cambria" w:hAnsi="Cambria"/>
          <w:bCs/>
          <w:color w:val="000000"/>
          <w:szCs w:val="21"/>
        </w:rPr>
      </w:pPr>
      <w:r>
        <w:rPr>
          <w:rFonts w:ascii="Cambria" w:hAnsi="Cambria"/>
          <w:bCs/>
          <w:color w:val="000000"/>
          <w:szCs w:val="21"/>
        </w:rPr>
        <w:tab/>
        <w:t xml:space="preserve">Given that the U.S. Revolution was fought in part to “free” colonists from the tyranny of a monarchy, while one of the main complaints about that monarchy was that it refused to allow American settlement of Indian-owned lands beyond the Appalachian Mountains, it is hardly surprising that former colonists established a federal government with limited powers. Nor is it surprising that settlement of the Ohio River Valley was one of the new government’s first orders of business. This lecture will consider current debates over exactly how “weak” the federal government was in the first decades after the Revolution, and how early U.S. diplomatic policies attempted to overcome those weaknesses. </w:t>
      </w:r>
    </w:p>
    <w:p w:rsidR="00592D63" w:rsidRDefault="00592D63">
      <w:pPr>
        <w:ind w:left="720" w:right="1440"/>
        <w:rPr>
          <w:rFonts w:ascii="Cambria" w:hAnsi="Cambria"/>
          <w:bCs/>
          <w:color w:val="000000"/>
          <w:szCs w:val="21"/>
        </w:rPr>
      </w:pPr>
    </w:p>
    <w:p w:rsidR="00592D63" w:rsidRDefault="00592D63">
      <w:pPr>
        <w:ind w:left="720" w:right="1440" w:firstLineChars="200" w:firstLine="420"/>
        <w:rPr>
          <w:bCs/>
          <w:color w:val="000000"/>
          <w:szCs w:val="21"/>
        </w:rPr>
      </w:pPr>
      <w:r>
        <w:rPr>
          <w:bCs/>
          <w:color w:val="000000"/>
          <w:szCs w:val="21"/>
        </w:rPr>
        <w:t xml:space="preserve">Readings: primary sources from Greenberg volume; George Washington’s farewell address; Amy Greenberg, </w:t>
      </w:r>
      <w:r>
        <w:rPr>
          <w:szCs w:val="21"/>
        </w:rPr>
        <w:t xml:space="preserve">“Conquest and the Nation State,” </w:t>
      </w:r>
      <w:r>
        <w:rPr>
          <w:i/>
          <w:iCs/>
          <w:szCs w:val="21"/>
        </w:rPr>
        <w:t xml:space="preserve">Reviews in American History </w:t>
      </w:r>
      <w:r>
        <w:rPr>
          <w:szCs w:val="21"/>
        </w:rPr>
        <w:t>42(1): 58-64; S</w:t>
      </w:r>
      <w:r>
        <w:rPr>
          <w:bCs/>
          <w:color w:val="000000"/>
          <w:szCs w:val="21"/>
        </w:rPr>
        <w:t xml:space="preserve">elections from Paul </w:t>
      </w:r>
      <w:proofErr w:type="spellStart"/>
      <w:r>
        <w:rPr>
          <w:bCs/>
          <w:color w:val="000000"/>
          <w:szCs w:val="21"/>
        </w:rPr>
        <w:t>Frymer</w:t>
      </w:r>
      <w:proofErr w:type="spellEnd"/>
      <w:r>
        <w:rPr>
          <w:bCs/>
          <w:color w:val="000000"/>
          <w:szCs w:val="21"/>
        </w:rPr>
        <w:t xml:space="preserve">, </w:t>
      </w:r>
      <w:r>
        <w:rPr>
          <w:bCs/>
          <w:i/>
          <w:color w:val="000000"/>
          <w:szCs w:val="21"/>
        </w:rPr>
        <w:t>Building an American Empire</w:t>
      </w:r>
      <w:r>
        <w:rPr>
          <w:bCs/>
          <w:color w:val="000000"/>
          <w:szCs w:val="21"/>
        </w:rPr>
        <w:t xml:space="preserve"> (2017).</w:t>
      </w:r>
    </w:p>
    <w:p w:rsidR="00592D63" w:rsidRDefault="00592D63">
      <w:pPr>
        <w:ind w:left="720" w:right="1440"/>
        <w:rPr>
          <w:rFonts w:ascii="Cambria" w:hAnsi="Cambria"/>
          <w:bCs/>
          <w:color w:val="000000"/>
          <w:szCs w:val="21"/>
        </w:rPr>
      </w:pPr>
    </w:p>
    <w:p w:rsidR="00592D63" w:rsidRDefault="00592D63">
      <w:pPr>
        <w:ind w:left="720" w:right="1440"/>
        <w:rPr>
          <w:rFonts w:ascii="Cambria" w:hAnsi="Cambria"/>
          <w:b/>
          <w:bCs/>
          <w:color w:val="000000"/>
          <w:szCs w:val="21"/>
        </w:rPr>
      </w:pPr>
      <w:r>
        <w:rPr>
          <w:rFonts w:ascii="Cambria" w:hAnsi="Cambria"/>
          <w:b/>
          <w:bCs/>
          <w:color w:val="000000"/>
          <w:szCs w:val="21"/>
        </w:rPr>
        <w:t xml:space="preserve">Lecture #2: Was the United States a Settler Colony? </w:t>
      </w:r>
    </w:p>
    <w:p w:rsidR="00592D63" w:rsidRDefault="00592D63">
      <w:pPr>
        <w:ind w:left="720" w:right="1440"/>
        <w:rPr>
          <w:rFonts w:ascii="Cambria" w:hAnsi="Cambria"/>
          <w:bCs/>
          <w:color w:val="000000"/>
          <w:szCs w:val="21"/>
        </w:rPr>
      </w:pPr>
      <w:r>
        <w:rPr>
          <w:rFonts w:ascii="Cambria" w:hAnsi="Cambria"/>
          <w:bCs/>
          <w:color w:val="000000"/>
          <w:szCs w:val="21"/>
        </w:rPr>
        <w:tab/>
      </w:r>
      <w:r>
        <w:rPr>
          <w:rFonts w:ascii="Cambria" w:hAnsi="Cambria" w:hint="eastAsia"/>
          <w:bCs/>
          <w:color w:val="000000"/>
          <w:szCs w:val="21"/>
        </w:rPr>
        <w:t xml:space="preserve">   </w:t>
      </w:r>
      <w:r>
        <w:rPr>
          <w:rFonts w:ascii="Cambria" w:hAnsi="Cambria"/>
          <w:bCs/>
          <w:color w:val="000000"/>
          <w:szCs w:val="21"/>
        </w:rPr>
        <w:t>The concept of settler colonialism has transformed the way scholars around the globe write about territorial expansion and colonialism, yet the question of whether the United States was a settler colony is far from settled. This lecture will examine the debate, and consider what is at stake in declaring the United States a settler colony. What were the goals of American foreign policy in the first half of the nineteenth century, and how might thinking about individual policies influence our answer to this question?</w:t>
      </w:r>
    </w:p>
    <w:p w:rsidR="00592D63" w:rsidRDefault="00592D63">
      <w:pPr>
        <w:ind w:left="720" w:right="1440"/>
        <w:rPr>
          <w:rFonts w:ascii="Cambria" w:hAnsi="Cambria"/>
          <w:bCs/>
          <w:color w:val="000000"/>
          <w:szCs w:val="21"/>
        </w:rPr>
      </w:pPr>
    </w:p>
    <w:p w:rsidR="00592D63" w:rsidRDefault="00592D63">
      <w:pPr>
        <w:ind w:left="720" w:right="1440" w:firstLineChars="200" w:firstLine="420"/>
        <w:rPr>
          <w:rFonts w:ascii="Cambria" w:hAnsi="Cambria"/>
          <w:bCs/>
          <w:color w:val="000000"/>
          <w:szCs w:val="21"/>
        </w:rPr>
      </w:pPr>
      <w:r>
        <w:rPr>
          <w:rFonts w:ascii="Cambria" w:hAnsi="Cambria"/>
          <w:bCs/>
          <w:color w:val="000000"/>
          <w:szCs w:val="21"/>
        </w:rPr>
        <w:t xml:space="preserve">Readings: primary sources from Greenberg volume, selections from Julius </w:t>
      </w:r>
      <w:proofErr w:type="spellStart"/>
      <w:r>
        <w:rPr>
          <w:rFonts w:ascii="Cambria" w:hAnsi="Cambria"/>
          <w:bCs/>
          <w:color w:val="000000"/>
          <w:szCs w:val="21"/>
        </w:rPr>
        <w:t>Wilm</w:t>
      </w:r>
      <w:proofErr w:type="spellEnd"/>
      <w:r>
        <w:rPr>
          <w:rFonts w:ascii="Cambria" w:hAnsi="Cambria"/>
          <w:bCs/>
          <w:color w:val="000000"/>
          <w:szCs w:val="21"/>
        </w:rPr>
        <w:t xml:space="preserve">, </w:t>
      </w:r>
      <w:r>
        <w:rPr>
          <w:rFonts w:ascii="Cambria" w:hAnsi="Cambria"/>
          <w:bCs/>
          <w:i/>
          <w:color w:val="000000"/>
          <w:szCs w:val="21"/>
        </w:rPr>
        <w:t xml:space="preserve">Free Land for Free Settlers: An American Dream and Its Realities in the </w:t>
      </w:r>
      <w:r>
        <w:rPr>
          <w:rFonts w:ascii="Cambria" w:hAnsi="Cambria"/>
          <w:bCs/>
          <w:i/>
          <w:color w:val="000000"/>
          <w:szCs w:val="21"/>
        </w:rPr>
        <w:lastRenderedPageBreak/>
        <w:t>Antebellum Era</w:t>
      </w:r>
      <w:r>
        <w:rPr>
          <w:rFonts w:ascii="Cambria" w:hAnsi="Cambria"/>
          <w:bCs/>
          <w:color w:val="000000"/>
          <w:szCs w:val="21"/>
        </w:rPr>
        <w:t xml:space="preserve"> (2019).</w:t>
      </w:r>
    </w:p>
    <w:p w:rsidR="00592D63" w:rsidRDefault="00592D63">
      <w:pPr>
        <w:ind w:left="720" w:right="1440"/>
        <w:rPr>
          <w:rFonts w:ascii="Cambria" w:hAnsi="Cambria"/>
          <w:bCs/>
          <w:color w:val="000000"/>
          <w:szCs w:val="21"/>
        </w:rPr>
      </w:pPr>
    </w:p>
    <w:p w:rsidR="00592D63" w:rsidRDefault="00592D63">
      <w:pPr>
        <w:ind w:left="720" w:right="1440"/>
        <w:rPr>
          <w:rFonts w:ascii="Cambria" w:hAnsi="Cambria"/>
          <w:b/>
          <w:bCs/>
          <w:color w:val="000000"/>
          <w:szCs w:val="21"/>
        </w:rPr>
      </w:pPr>
      <w:r>
        <w:rPr>
          <w:rFonts w:ascii="Cambria" w:hAnsi="Cambria"/>
          <w:b/>
          <w:bCs/>
          <w:color w:val="000000"/>
          <w:szCs w:val="21"/>
        </w:rPr>
        <w:t>Lecture #3: Nineteenth-Century Transnational Encounters: The United States in Asia/Asia in the United States.</w:t>
      </w:r>
    </w:p>
    <w:p w:rsidR="00592D63" w:rsidRDefault="00592D63">
      <w:pPr>
        <w:ind w:left="720" w:right="1440"/>
        <w:rPr>
          <w:rFonts w:ascii="Cambria" w:hAnsi="Cambria"/>
          <w:bCs/>
          <w:color w:val="000000"/>
          <w:szCs w:val="21"/>
        </w:rPr>
      </w:pPr>
      <w:r>
        <w:rPr>
          <w:rFonts w:ascii="Cambria" w:hAnsi="Cambria"/>
          <w:bCs/>
          <w:color w:val="000000"/>
          <w:szCs w:val="21"/>
        </w:rPr>
        <w:tab/>
      </w:r>
      <w:r>
        <w:rPr>
          <w:rFonts w:ascii="Cambria" w:hAnsi="Cambria" w:hint="eastAsia"/>
          <w:bCs/>
          <w:color w:val="000000"/>
          <w:szCs w:val="21"/>
        </w:rPr>
        <w:t xml:space="preserve">  </w:t>
      </w:r>
      <w:r>
        <w:rPr>
          <w:rFonts w:ascii="Cambria" w:hAnsi="Cambria"/>
          <w:bCs/>
          <w:color w:val="000000"/>
          <w:szCs w:val="21"/>
        </w:rPr>
        <w:t xml:space="preserve">While historians have examined nineteenth-century Transatlantic encounters in </w:t>
      </w:r>
      <w:proofErr w:type="gramStart"/>
      <w:r>
        <w:rPr>
          <w:rFonts w:ascii="Cambria" w:hAnsi="Cambria"/>
          <w:bCs/>
          <w:color w:val="000000"/>
          <w:szCs w:val="21"/>
        </w:rPr>
        <w:t>great detail</w:t>
      </w:r>
      <w:proofErr w:type="gramEnd"/>
      <w:r>
        <w:rPr>
          <w:rFonts w:ascii="Cambria" w:hAnsi="Cambria"/>
          <w:bCs/>
          <w:color w:val="000000"/>
          <w:szCs w:val="21"/>
        </w:rPr>
        <w:t xml:space="preserve">, Transpacific networks have yet to be fully plumbed. This lecture will consider why scholarship on early U.S. foreign relations and foreign encounters with Asia and the Pacific are in their infancy, and consider the primary means by which some scholars are attempting to address this lacuna. </w:t>
      </w:r>
    </w:p>
    <w:p w:rsidR="00592D63" w:rsidRDefault="00592D63">
      <w:pPr>
        <w:ind w:left="720" w:right="1440"/>
        <w:rPr>
          <w:rFonts w:ascii="Cambria" w:hAnsi="Cambria"/>
          <w:bCs/>
          <w:color w:val="000000"/>
          <w:szCs w:val="21"/>
        </w:rPr>
      </w:pPr>
    </w:p>
    <w:p w:rsidR="00592D63" w:rsidRDefault="00592D63">
      <w:pPr>
        <w:ind w:left="720" w:right="1440" w:firstLineChars="200" w:firstLine="420"/>
        <w:rPr>
          <w:rFonts w:ascii="Cambria" w:hAnsi="Cambria"/>
          <w:bCs/>
          <w:color w:val="000000"/>
          <w:szCs w:val="21"/>
        </w:rPr>
      </w:pPr>
      <w:r>
        <w:rPr>
          <w:rFonts w:ascii="Cambria" w:hAnsi="Cambria"/>
          <w:bCs/>
          <w:color w:val="000000"/>
          <w:szCs w:val="21"/>
        </w:rPr>
        <w:t xml:space="preserve">Readings: Nancy Shoemaker, “The Extraterritorial United States in 1860,” </w:t>
      </w:r>
      <w:r>
        <w:rPr>
          <w:rFonts w:ascii="Cambria" w:hAnsi="Cambria"/>
          <w:bCs/>
          <w:i/>
          <w:color w:val="000000"/>
          <w:szCs w:val="21"/>
        </w:rPr>
        <w:t>Diplomatic History</w:t>
      </w:r>
      <w:r>
        <w:rPr>
          <w:rFonts w:ascii="Cambria" w:hAnsi="Cambria"/>
          <w:bCs/>
          <w:color w:val="000000"/>
          <w:szCs w:val="21"/>
        </w:rPr>
        <w:t xml:space="preserve"> (January 2018); Emily Conroy-</w:t>
      </w:r>
      <w:proofErr w:type="spellStart"/>
      <w:r>
        <w:rPr>
          <w:rFonts w:ascii="Cambria" w:hAnsi="Cambria"/>
          <w:bCs/>
          <w:color w:val="000000"/>
          <w:szCs w:val="21"/>
        </w:rPr>
        <w:t>Krutz</w:t>
      </w:r>
      <w:proofErr w:type="spellEnd"/>
      <w:r>
        <w:rPr>
          <w:rFonts w:ascii="Cambria" w:hAnsi="Cambria"/>
          <w:bCs/>
          <w:color w:val="000000"/>
          <w:szCs w:val="21"/>
        </w:rPr>
        <w:t>, “</w:t>
      </w:r>
      <w:r>
        <w:rPr>
          <w:rFonts w:ascii="Cambria" w:hAnsi="Cambria"/>
          <w:bCs/>
          <w:color w:val="000000"/>
          <w:szCs w:val="21"/>
          <w:u w:val="single"/>
        </w:rPr>
        <w:t>Foreign Missions: 1800-1860</w:t>
      </w:r>
      <w:r>
        <w:rPr>
          <w:rFonts w:ascii="Cambria" w:hAnsi="Cambria"/>
          <w:bCs/>
          <w:color w:val="000000"/>
          <w:szCs w:val="21"/>
        </w:rPr>
        <w:t xml:space="preserve">,” </w:t>
      </w:r>
      <w:r>
        <w:rPr>
          <w:rFonts w:ascii="Cambria" w:hAnsi="Cambria"/>
          <w:bCs/>
          <w:i/>
          <w:color w:val="000000"/>
          <w:szCs w:val="21"/>
        </w:rPr>
        <w:t>The Oxford Research Encyclopedia of Religion</w:t>
      </w:r>
      <w:r>
        <w:rPr>
          <w:rFonts w:ascii="Cambria" w:hAnsi="Cambria"/>
          <w:bCs/>
          <w:color w:val="000000"/>
          <w:szCs w:val="21"/>
        </w:rPr>
        <w:t xml:space="preserve">; selections from </w:t>
      </w:r>
      <w:proofErr w:type="spellStart"/>
      <w:r>
        <w:rPr>
          <w:rFonts w:ascii="Cambria" w:hAnsi="Cambria"/>
          <w:bCs/>
          <w:color w:val="000000"/>
          <w:szCs w:val="21"/>
        </w:rPr>
        <w:t>Kariann</w:t>
      </w:r>
      <w:proofErr w:type="spellEnd"/>
      <w:r>
        <w:rPr>
          <w:rFonts w:ascii="Cambria" w:hAnsi="Cambria"/>
          <w:bCs/>
          <w:color w:val="000000"/>
          <w:szCs w:val="21"/>
        </w:rPr>
        <w:t xml:space="preserve"> Yokota, </w:t>
      </w:r>
      <w:r>
        <w:rPr>
          <w:rFonts w:ascii="Cambria" w:hAnsi="Cambria"/>
          <w:bCs/>
          <w:i/>
          <w:iCs/>
          <w:color w:val="000000"/>
          <w:szCs w:val="21"/>
        </w:rPr>
        <w:t>Unbecoming British: How Revolutionary America Became a Postcolonial Nation</w:t>
      </w:r>
      <w:r>
        <w:rPr>
          <w:rFonts w:ascii="Cambria" w:hAnsi="Cambria"/>
          <w:bCs/>
          <w:color w:val="000000"/>
          <w:szCs w:val="21"/>
        </w:rPr>
        <w:t> (2011).</w:t>
      </w:r>
    </w:p>
    <w:p w:rsidR="00592D63" w:rsidRDefault="00592D63">
      <w:pPr>
        <w:ind w:left="720" w:right="1440"/>
        <w:rPr>
          <w:rFonts w:ascii="Cambria" w:hAnsi="Cambria"/>
          <w:bCs/>
          <w:color w:val="000000"/>
          <w:szCs w:val="21"/>
        </w:rPr>
      </w:pPr>
    </w:p>
    <w:p w:rsidR="00592D63" w:rsidRDefault="00592D63">
      <w:pPr>
        <w:ind w:leftChars="300" w:left="630" w:right="1440" w:firstLineChars="41" w:firstLine="86"/>
        <w:rPr>
          <w:rFonts w:ascii="Cambria" w:hAnsi="Cambria"/>
          <w:b/>
          <w:bCs/>
          <w:color w:val="000000"/>
          <w:szCs w:val="21"/>
        </w:rPr>
      </w:pPr>
      <w:r>
        <w:rPr>
          <w:rFonts w:ascii="Cambria" w:hAnsi="Cambria"/>
          <w:b/>
          <w:bCs/>
          <w:color w:val="000000"/>
          <w:szCs w:val="21"/>
        </w:rPr>
        <w:t>Lecture #4: Why Manifest Destiny Failed: Cuba and Canada reconsidered</w:t>
      </w:r>
    </w:p>
    <w:p w:rsidR="00592D63" w:rsidRDefault="00592D63">
      <w:pPr>
        <w:ind w:right="1440" w:firstLineChars="550" w:firstLine="1155"/>
        <w:rPr>
          <w:rFonts w:ascii="Cambria" w:hAnsi="Cambria"/>
          <w:bCs/>
          <w:color w:val="000000"/>
          <w:szCs w:val="21"/>
        </w:rPr>
      </w:pPr>
      <w:r>
        <w:rPr>
          <w:rFonts w:ascii="Cambria" w:hAnsi="Cambria"/>
          <w:bCs/>
          <w:color w:val="000000"/>
          <w:szCs w:val="21"/>
        </w:rPr>
        <w:t>It’s easy to take the territorial boundaries of the United States for granted,</w:t>
      </w:r>
    </w:p>
    <w:p w:rsidR="00592D63" w:rsidRDefault="00592D63">
      <w:pPr>
        <w:ind w:left="720" w:right="1440"/>
        <w:rPr>
          <w:rFonts w:ascii="Cambria" w:hAnsi="Cambria"/>
          <w:bCs/>
          <w:color w:val="000000"/>
          <w:szCs w:val="21"/>
        </w:rPr>
      </w:pPr>
      <w:r>
        <w:rPr>
          <w:rFonts w:ascii="Cambria" w:hAnsi="Cambria"/>
          <w:bCs/>
          <w:color w:val="000000"/>
          <w:szCs w:val="21"/>
        </w:rPr>
        <w:t>but there was a great deal of territory that the United States could have annexed during the nineteenth century and did not. This lecture will consider the two biggest “prizes” that the United States failed to annex during the nineteenth century: Cuba and Canada, and will consider how these countries factor into current historical debates over nineteenth century foreign policy.</w:t>
      </w:r>
    </w:p>
    <w:p w:rsidR="00592D63" w:rsidRDefault="00592D63">
      <w:pPr>
        <w:ind w:left="720" w:right="1440"/>
        <w:rPr>
          <w:rFonts w:ascii="Cambria" w:hAnsi="Cambria"/>
          <w:bCs/>
          <w:color w:val="000000"/>
          <w:szCs w:val="21"/>
        </w:rPr>
      </w:pPr>
    </w:p>
    <w:p w:rsidR="00592D63" w:rsidRDefault="00592D63">
      <w:pPr>
        <w:ind w:left="720" w:right="1440" w:firstLineChars="200" w:firstLine="420"/>
        <w:rPr>
          <w:rFonts w:ascii="Cambria" w:hAnsi="Cambria"/>
          <w:bCs/>
          <w:color w:val="000000"/>
          <w:szCs w:val="21"/>
        </w:rPr>
      </w:pPr>
      <w:r>
        <w:rPr>
          <w:rFonts w:ascii="Cambria" w:hAnsi="Cambria"/>
          <w:bCs/>
          <w:color w:val="000000"/>
          <w:szCs w:val="21"/>
        </w:rPr>
        <w:t xml:space="preserve">Readings: selections from Greenberg volume; </w:t>
      </w:r>
      <w:r>
        <w:rPr>
          <w:szCs w:val="21"/>
        </w:rPr>
        <w:t>S</w:t>
      </w:r>
      <w:r>
        <w:rPr>
          <w:rFonts w:ascii="Cambria" w:hAnsi="Cambria"/>
          <w:bCs/>
          <w:color w:val="000000"/>
          <w:szCs w:val="21"/>
        </w:rPr>
        <w:t xml:space="preserve">elections from Paul </w:t>
      </w:r>
      <w:proofErr w:type="spellStart"/>
      <w:r>
        <w:rPr>
          <w:rFonts w:ascii="Cambria" w:hAnsi="Cambria"/>
          <w:bCs/>
          <w:color w:val="000000"/>
          <w:szCs w:val="21"/>
        </w:rPr>
        <w:t>Frymer</w:t>
      </w:r>
      <w:proofErr w:type="spellEnd"/>
      <w:r>
        <w:rPr>
          <w:rFonts w:ascii="Cambria" w:hAnsi="Cambria"/>
          <w:bCs/>
          <w:color w:val="000000"/>
          <w:szCs w:val="21"/>
        </w:rPr>
        <w:t xml:space="preserve">, </w:t>
      </w:r>
      <w:r>
        <w:rPr>
          <w:rFonts w:ascii="Cambria" w:hAnsi="Cambria"/>
          <w:bCs/>
          <w:i/>
          <w:color w:val="000000"/>
          <w:szCs w:val="21"/>
        </w:rPr>
        <w:t>Building an American Empire</w:t>
      </w:r>
      <w:r>
        <w:rPr>
          <w:rFonts w:ascii="Cambria" w:hAnsi="Cambria"/>
          <w:bCs/>
          <w:color w:val="000000"/>
          <w:szCs w:val="21"/>
        </w:rPr>
        <w:t xml:space="preserve"> (2017).</w:t>
      </w:r>
    </w:p>
    <w:p w:rsidR="00592D63" w:rsidRDefault="00592D63">
      <w:pPr>
        <w:ind w:right="1440"/>
        <w:rPr>
          <w:rFonts w:ascii="Cambria" w:hAnsi="Cambria"/>
          <w:bCs/>
          <w:color w:val="000000"/>
          <w:szCs w:val="21"/>
        </w:rPr>
      </w:pPr>
    </w:p>
    <w:p w:rsidR="00592D63" w:rsidRDefault="00592D63">
      <w:pPr>
        <w:ind w:left="720" w:right="1440"/>
        <w:rPr>
          <w:rFonts w:ascii="Cambria" w:hAnsi="Cambria"/>
          <w:b/>
          <w:bCs/>
          <w:color w:val="000000"/>
          <w:szCs w:val="21"/>
        </w:rPr>
      </w:pPr>
      <w:r>
        <w:rPr>
          <w:rFonts w:ascii="Cambria" w:hAnsi="Cambria"/>
          <w:b/>
          <w:bCs/>
          <w:color w:val="000000"/>
          <w:szCs w:val="21"/>
        </w:rPr>
        <w:t>Lecture #5: Race, Religion, and the Question of Consent in the Path of U.S. Empire</w:t>
      </w:r>
    </w:p>
    <w:p w:rsidR="00592D63" w:rsidRDefault="00592D63">
      <w:pPr>
        <w:ind w:left="720" w:right="1440"/>
        <w:rPr>
          <w:rFonts w:ascii="Cambria" w:hAnsi="Cambria"/>
          <w:bCs/>
          <w:color w:val="000000"/>
          <w:szCs w:val="21"/>
        </w:rPr>
      </w:pPr>
      <w:r>
        <w:rPr>
          <w:rFonts w:ascii="Cambria" w:hAnsi="Cambria"/>
          <w:bCs/>
          <w:color w:val="000000"/>
          <w:szCs w:val="21"/>
        </w:rPr>
        <w:tab/>
        <w:t>This lecture asks how the study of early U.S. foreign policy looks different when historians employ gender analysis, or foreground questions of race and religion. Why did the U.S. choose to annex, trade, or ignore some countries rather than others?  Readings will include book proposals considered for inclusion in the “U.S. in the World” book series at Cornell University Press.</w:t>
      </w:r>
    </w:p>
    <w:p w:rsidR="00592D63" w:rsidRDefault="00592D63">
      <w:pPr>
        <w:ind w:left="720" w:right="1440"/>
        <w:rPr>
          <w:rFonts w:ascii="Cambria" w:hAnsi="Cambria"/>
          <w:bCs/>
          <w:color w:val="000000"/>
          <w:szCs w:val="21"/>
        </w:rPr>
      </w:pPr>
    </w:p>
    <w:p w:rsidR="00592D63" w:rsidRDefault="00592D63">
      <w:pPr>
        <w:shd w:val="clear" w:color="auto" w:fill="FFFFFF"/>
        <w:ind w:left="720"/>
        <w:rPr>
          <w:rFonts w:cs="Arial" w:hint="eastAsia"/>
          <w:i/>
          <w:color w:val="222222"/>
          <w:szCs w:val="21"/>
        </w:rPr>
      </w:pPr>
      <w:r>
        <w:rPr>
          <w:bCs/>
          <w:color w:val="000000"/>
          <w:szCs w:val="21"/>
        </w:rPr>
        <w:t xml:space="preserve">Readings: primary sources from Greenberg volume; selections from Caitlin Fitz, </w:t>
      </w:r>
      <w:proofErr w:type="gramStart"/>
      <w:r>
        <w:rPr>
          <w:rFonts w:cs="Arial"/>
          <w:i/>
          <w:color w:val="222222"/>
          <w:szCs w:val="21"/>
        </w:rPr>
        <w:t>Our</w:t>
      </w:r>
      <w:proofErr w:type="gramEnd"/>
      <w:r>
        <w:rPr>
          <w:rFonts w:cs="Arial"/>
          <w:i/>
          <w:color w:val="222222"/>
          <w:szCs w:val="21"/>
        </w:rPr>
        <w:t xml:space="preserve"> </w:t>
      </w:r>
    </w:p>
    <w:p w:rsidR="00592D63" w:rsidRDefault="00592D63">
      <w:pPr>
        <w:shd w:val="clear" w:color="auto" w:fill="FFFFFF"/>
        <w:ind w:left="720"/>
        <w:rPr>
          <w:rFonts w:cs="Arial" w:hint="eastAsia"/>
          <w:color w:val="222222"/>
          <w:szCs w:val="21"/>
        </w:rPr>
      </w:pPr>
      <w:r>
        <w:rPr>
          <w:rFonts w:cs="Arial"/>
          <w:i/>
          <w:color w:val="222222"/>
          <w:szCs w:val="21"/>
        </w:rPr>
        <w:t xml:space="preserve">Sister Republics: The United States in an Age of American Revolutions </w:t>
      </w:r>
      <w:r>
        <w:rPr>
          <w:rFonts w:cs="Arial"/>
          <w:color w:val="222222"/>
          <w:szCs w:val="21"/>
        </w:rPr>
        <w:t>(2016); book proposals.</w:t>
      </w:r>
    </w:p>
    <w:p w:rsidR="00592D63" w:rsidRDefault="00592D63" w:rsidP="00CE60C7">
      <w:pPr>
        <w:shd w:val="clear" w:color="auto" w:fill="FFFFFF"/>
        <w:rPr>
          <w:rFonts w:cs="Arial" w:hint="eastAsia"/>
          <w:color w:val="222222"/>
          <w:szCs w:val="21"/>
        </w:rPr>
      </w:pPr>
      <w:bookmarkStart w:id="0" w:name="_GoBack"/>
      <w:bookmarkEnd w:id="0"/>
    </w:p>
    <w:sectPr w:rsidR="00592D63">
      <w:footerReference w:type="default" r:id="rId7"/>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0A" w:rsidRDefault="00EF680A">
      <w:r>
        <w:separator/>
      </w:r>
    </w:p>
  </w:endnote>
  <w:endnote w:type="continuationSeparator" w:id="0">
    <w:p w:rsidR="00EF680A" w:rsidRDefault="00EF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63" w:rsidRDefault="00592D63">
    <w:pPr>
      <w:pStyle w:val="ae"/>
      <w:jc w:val="center"/>
    </w:pPr>
    <w:r>
      <w:rPr>
        <w:lang w:val="zh-CN"/>
      </w:rPr>
      <w:t xml:space="preserve"> </w:t>
    </w:r>
    <w:r>
      <w:rPr>
        <w:b/>
        <w:sz w:val="24"/>
        <w:szCs w:val="24"/>
      </w:rPr>
      <w:fldChar w:fldCharType="begin"/>
    </w:r>
    <w:r>
      <w:rPr>
        <w:b/>
      </w:rPr>
      <w:instrText>PAGE</w:instrText>
    </w:r>
    <w:r>
      <w:rPr>
        <w:b/>
        <w:sz w:val="24"/>
        <w:szCs w:val="24"/>
      </w:rPr>
      <w:fldChar w:fldCharType="separate"/>
    </w:r>
    <w:r>
      <w:rPr>
        <w:b/>
        <w:lang w:val="en-US" w:eastAsia="zh-CN"/>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lang w:val="en-US" w:eastAsia="zh-CN"/>
      </w:rPr>
      <w:t>7</w:t>
    </w:r>
    <w:r>
      <w:rPr>
        <w:b/>
        <w:sz w:val="24"/>
        <w:szCs w:val="24"/>
      </w:rPr>
      <w:fldChar w:fldCharType="end"/>
    </w:r>
  </w:p>
  <w:p w:rsidR="00592D63" w:rsidRDefault="00592D6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0A" w:rsidRDefault="00EF680A">
      <w:r>
        <w:separator/>
      </w:r>
    </w:p>
  </w:footnote>
  <w:footnote w:type="continuationSeparator" w:id="0">
    <w:p w:rsidR="00EF680A" w:rsidRDefault="00EF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1DA7C"/>
    <w:multiLevelType w:val="singleLevel"/>
    <w:tmpl w:val="6C91DA7C"/>
    <w:lvl w:ilvl="0">
      <w:start w:val="2"/>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39"/>
    <w:rsid w:val="000046E4"/>
    <w:rsid w:val="000466D0"/>
    <w:rsid w:val="00060B65"/>
    <w:rsid w:val="000A4020"/>
    <w:rsid w:val="000B5228"/>
    <w:rsid w:val="000C4AB8"/>
    <w:rsid w:val="000D65EB"/>
    <w:rsid w:val="000D6AD1"/>
    <w:rsid w:val="000E1B76"/>
    <w:rsid w:val="000F7733"/>
    <w:rsid w:val="00103643"/>
    <w:rsid w:val="001039A8"/>
    <w:rsid w:val="00114767"/>
    <w:rsid w:val="001179FD"/>
    <w:rsid w:val="00137E6A"/>
    <w:rsid w:val="00140419"/>
    <w:rsid w:val="00141725"/>
    <w:rsid w:val="0015002F"/>
    <w:rsid w:val="001633CD"/>
    <w:rsid w:val="001E6A82"/>
    <w:rsid w:val="00201AA3"/>
    <w:rsid w:val="00224B6C"/>
    <w:rsid w:val="00226F6E"/>
    <w:rsid w:val="00227515"/>
    <w:rsid w:val="00232D84"/>
    <w:rsid w:val="00234283"/>
    <w:rsid w:val="00234808"/>
    <w:rsid w:val="00243822"/>
    <w:rsid w:val="0025569F"/>
    <w:rsid w:val="0027411A"/>
    <w:rsid w:val="00287414"/>
    <w:rsid w:val="002A104D"/>
    <w:rsid w:val="002A7153"/>
    <w:rsid w:val="002C5C5E"/>
    <w:rsid w:val="002D0412"/>
    <w:rsid w:val="002E5214"/>
    <w:rsid w:val="002F37F7"/>
    <w:rsid w:val="00304419"/>
    <w:rsid w:val="00313054"/>
    <w:rsid w:val="003309D8"/>
    <w:rsid w:val="00346D93"/>
    <w:rsid w:val="003478A1"/>
    <w:rsid w:val="00364666"/>
    <w:rsid w:val="00385CCB"/>
    <w:rsid w:val="00392494"/>
    <w:rsid w:val="00395B65"/>
    <w:rsid w:val="003B6BBD"/>
    <w:rsid w:val="00434C09"/>
    <w:rsid w:val="00451218"/>
    <w:rsid w:val="00456732"/>
    <w:rsid w:val="00474035"/>
    <w:rsid w:val="00480589"/>
    <w:rsid w:val="00495656"/>
    <w:rsid w:val="004E58FF"/>
    <w:rsid w:val="00513539"/>
    <w:rsid w:val="00540E00"/>
    <w:rsid w:val="005416F5"/>
    <w:rsid w:val="005711CA"/>
    <w:rsid w:val="00592D63"/>
    <w:rsid w:val="005A127C"/>
    <w:rsid w:val="005A77B6"/>
    <w:rsid w:val="005F07AA"/>
    <w:rsid w:val="00622000"/>
    <w:rsid w:val="00624304"/>
    <w:rsid w:val="00635452"/>
    <w:rsid w:val="00675DB0"/>
    <w:rsid w:val="00676FE0"/>
    <w:rsid w:val="006E2117"/>
    <w:rsid w:val="006F0391"/>
    <w:rsid w:val="006F2520"/>
    <w:rsid w:val="006F3854"/>
    <w:rsid w:val="00700A36"/>
    <w:rsid w:val="007117F6"/>
    <w:rsid w:val="007424BE"/>
    <w:rsid w:val="00761A86"/>
    <w:rsid w:val="007764E3"/>
    <w:rsid w:val="0079443B"/>
    <w:rsid w:val="007C41B9"/>
    <w:rsid w:val="007D1B0F"/>
    <w:rsid w:val="007E029F"/>
    <w:rsid w:val="007E2099"/>
    <w:rsid w:val="007E7CE8"/>
    <w:rsid w:val="007F2D34"/>
    <w:rsid w:val="007F48F8"/>
    <w:rsid w:val="008025F1"/>
    <w:rsid w:val="00803DF3"/>
    <w:rsid w:val="00804245"/>
    <w:rsid w:val="0081267B"/>
    <w:rsid w:val="00817C50"/>
    <w:rsid w:val="00851146"/>
    <w:rsid w:val="0089373A"/>
    <w:rsid w:val="008A0A3A"/>
    <w:rsid w:val="008C4B0D"/>
    <w:rsid w:val="008C6E5D"/>
    <w:rsid w:val="008F175D"/>
    <w:rsid w:val="008F2850"/>
    <w:rsid w:val="00921CA6"/>
    <w:rsid w:val="00924839"/>
    <w:rsid w:val="0092685A"/>
    <w:rsid w:val="009520DD"/>
    <w:rsid w:val="00961D87"/>
    <w:rsid w:val="00967A81"/>
    <w:rsid w:val="00973AE5"/>
    <w:rsid w:val="00980907"/>
    <w:rsid w:val="009C53E1"/>
    <w:rsid w:val="009C7DB5"/>
    <w:rsid w:val="009D021E"/>
    <w:rsid w:val="009D3A49"/>
    <w:rsid w:val="009D5939"/>
    <w:rsid w:val="009D7826"/>
    <w:rsid w:val="009F6660"/>
    <w:rsid w:val="00A10D25"/>
    <w:rsid w:val="00A31C51"/>
    <w:rsid w:val="00A31FE8"/>
    <w:rsid w:val="00A35584"/>
    <w:rsid w:val="00A37F05"/>
    <w:rsid w:val="00A5272D"/>
    <w:rsid w:val="00A56EDF"/>
    <w:rsid w:val="00A61960"/>
    <w:rsid w:val="00A61ED3"/>
    <w:rsid w:val="00A63861"/>
    <w:rsid w:val="00A84A95"/>
    <w:rsid w:val="00AA1F45"/>
    <w:rsid w:val="00AD2849"/>
    <w:rsid w:val="00AE4E4E"/>
    <w:rsid w:val="00B15089"/>
    <w:rsid w:val="00B36093"/>
    <w:rsid w:val="00B702A3"/>
    <w:rsid w:val="00B71162"/>
    <w:rsid w:val="00B927B6"/>
    <w:rsid w:val="00BB075E"/>
    <w:rsid w:val="00BD2722"/>
    <w:rsid w:val="00BF1F24"/>
    <w:rsid w:val="00C05BD3"/>
    <w:rsid w:val="00C104D3"/>
    <w:rsid w:val="00C14199"/>
    <w:rsid w:val="00C23D74"/>
    <w:rsid w:val="00C23DE1"/>
    <w:rsid w:val="00C2450C"/>
    <w:rsid w:val="00C35A61"/>
    <w:rsid w:val="00C53E52"/>
    <w:rsid w:val="00CA5F25"/>
    <w:rsid w:val="00CB3388"/>
    <w:rsid w:val="00CC7DAF"/>
    <w:rsid w:val="00CE60C7"/>
    <w:rsid w:val="00D148BC"/>
    <w:rsid w:val="00D2084D"/>
    <w:rsid w:val="00D24574"/>
    <w:rsid w:val="00D418D7"/>
    <w:rsid w:val="00D70E00"/>
    <w:rsid w:val="00D76829"/>
    <w:rsid w:val="00D83630"/>
    <w:rsid w:val="00D960BC"/>
    <w:rsid w:val="00DA5B52"/>
    <w:rsid w:val="00DE4A0D"/>
    <w:rsid w:val="00E04A2D"/>
    <w:rsid w:val="00E07789"/>
    <w:rsid w:val="00E3444A"/>
    <w:rsid w:val="00E6388D"/>
    <w:rsid w:val="00E973F8"/>
    <w:rsid w:val="00EC7BC3"/>
    <w:rsid w:val="00EF2090"/>
    <w:rsid w:val="00EF2128"/>
    <w:rsid w:val="00EF42C8"/>
    <w:rsid w:val="00EF4A1D"/>
    <w:rsid w:val="00EF680A"/>
    <w:rsid w:val="00F0640B"/>
    <w:rsid w:val="00F2107F"/>
    <w:rsid w:val="00F42BA9"/>
    <w:rsid w:val="00F46E65"/>
    <w:rsid w:val="00F6329B"/>
    <w:rsid w:val="00F66AA9"/>
    <w:rsid w:val="00FA1DF2"/>
    <w:rsid w:val="01127BBC"/>
    <w:rsid w:val="01543A85"/>
    <w:rsid w:val="019C1FB4"/>
    <w:rsid w:val="01DF6512"/>
    <w:rsid w:val="021B610E"/>
    <w:rsid w:val="03990B76"/>
    <w:rsid w:val="054378C5"/>
    <w:rsid w:val="0684507C"/>
    <w:rsid w:val="08F8595C"/>
    <w:rsid w:val="09103C56"/>
    <w:rsid w:val="0A793FFC"/>
    <w:rsid w:val="0D4F7D20"/>
    <w:rsid w:val="0D711ABD"/>
    <w:rsid w:val="0F442E4A"/>
    <w:rsid w:val="0F560556"/>
    <w:rsid w:val="0F954BA3"/>
    <w:rsid w:val="0FC533D3"/>
    <w:rsid w:val="0FD35600"/>
    <w:rsid w:val="0FD74B99"/>
    <w:rsid w:val="120D14F9"/>
    <w:rsid w:val="13931655"/>
    <w:rsid w:val="1408445B"/>
    <w:rsid w:val="147662DC"/>
    <w:rsid w:val="153D5871"/>
    <w:rsid w:val="15AE4B45"/>
    <w:rsid w:val="15E16B8E"/>
    <w:rsid w:val="16DE7CFC"/>
    <w:rsid w:val="16EA4361"/>
    <w:rsid w:val="172379F9"/>
    <w:rsid w:val="17C67D04"/>
    <w:rsid w:val="18390467"/>
    <w:rsid w:val="18D2558C"/>
    <w:rsid w:val="190F7A76"/>
    <w:rsid w:val="1AEC0560"/>
    <w:rsid w:val="1B2F0232"/>
    <w:rsid w:val="1B5F11BF"/>
    <w:rsid w:val="1CE444AB"/>
    <w:rsid w:val="1CEE6B8E"/>
    <w:rsid w:val="1D32264F"/>
    <w:rsid w:val="1DBA7CA7"/>
    <w:rsid w:val="1E515E21"/>
    <w:rsid w:val="1EF17941"/>
    <w:rsid w:val="1FDC076F"/>
    <w:rsid w:val="1FF23518"/>
    <w:rsid w:val="2095723D"/>
    <w:rsid w:val="209A4787"/>
    <w:rsid w:val="20A07B6F"/>
    <w:rsid w:val="219B6C57"/>
    <w:rsid w:val="21A959FE"/>
    <w:rsid w:val="22212E22"/>
    <w:rsid w:val="22D02A9C"/>
    <w:rsid w:val="23443C07"/>
    <w:rsid w:val="236161DE"/>
    <w:rsid w:val="24E06F20"/>
    <w:rsid w:val="25D053AD"/>
    <w:rsid w:val="268D4067"/>
    <w:rsid w:val="26A603F3"/>
    <w:rsid w:val="26A81202"/>
    <w:rsid w:val="26C079C1"/>
    <w:rsid w:val="26EB5887"/>
    <w:rsid w:val="274A07BB"/>
    <w:rsid w:val="27D42E23"/>
    <w:rsid w:val="28141C2D"/>
    <w:rsid w:val="28897130"/>
    <w:rsid w:val="298B4AA7"/>
    <w:rsid w:val="298D51AE"/>
    <w:rsid w:val="2A4D2076"/>
    <w:rsid w:val="2B773144"/>
    <w:rsid w:val="2DFD1AF9"/>
    <w:rsid w:val="30190D15"/>
    <w:rsid w:val="3124169A"/>
    <w:rsid w:val="338F0609"/>
    <w:rsid w:val="338F679A"/>
    <w:rsid w:val="33B86857"/>
    <w:rsid w:val="376B1A67"/>
    <w:rsid w:val="37C67915"/>
    <w:rsid w:val="3857568E"/>
    <w:rsid w:val="386D5EDA"/>
    <w:rsid w:val="3A3639DE"/>
    <w:rsid w:val="3A3E22B7"/>
    <w:rsid w:val="3A3F4C2E"/>
    <w:rsid w:val="3BE66499"/>
    <w:rsid w:val="3D543D2C"/>
    <w:rsid w:val="3DFB7B45"/>
    <w:rsid w:val="3F4F0C9B"/>
    <w:rsid w:val="3F4F336E"/>
    <w:rsid w:val="3F547783"/>
    <w:rsid w:val="40BA4794"/>
    <w:rsid w:val="420D20B0"/>
    <w:rsid w:val="42391AA0"/>
    <w:rsid w:val="44DD3073"/>
    <w:rsid w:val="472E73E4"/>
    <w:rsid w:val="47BA2895"/>
    <w:rsid w:val="47C11CF5"/>
    <w:rsid w:val="48413241"/>
    <w:rsid w:val="497C75D7"/>
    <w:rsid w:val="4A042E23"/>
    <w:rsid w:val="4B5E7065"/>
    <w:rsid w:val="4C7F0BE7"/>
    <w:rsid w:val="4F685775"/>
    <w:rsid w:val="4FF823C1"/>
    <w:rsid w:val="50C16460"/>
    <w:rsid w:val="51616698"/>
    <w:rsid w:val="516A3DCF"/>
    <w:rsid w:val="517C373C"/>
    <w:rsid w:val="52816B6F"/>
    <w:rsid w:val="52CB0EFD"/>
    <w:rsid w:val="560C0DB0"/>
    <w:rsid w:val="565E62AD"/>
    <w:rsid w:val="585F0BE5"/>
    <w:rsid w:val="59FE1EAF"/>
    <w:rsid w:val="5A6D670A"/>
    <w:rsid w:val="5CB17126"/>
    <w:rsid w:val="5CE916C0"/>
    <w:rsid w:val="5E7626C9"/>
    <w:rsid w:val="5E9B714C"/>
    <w:rsid w:val="5FA66DB2"/>
    <w:rsid w:val="5FF5236D"/>
    <w:rsid w:val="609342C7"/>
    <w:rsid w:val="616B0879"/>
    <w:rsid w:val="628C74E5"/>
    <w:rsid w:val="633B523F"/>
    <w:rsid w:val="63564169"/>
    <w:rsid w:val="63690E26"/>
    <w:rsid w:val="65BD4BEB"/>
    <w:rsid w:val="65D929FA"/>
    <w:rsid w:val="66981663"/>
    <w:rsid w:val="66E93C0B"/>
    <w:rsid w:val="670F237D"/>
    <w:rsid w:val="68E306FE"/>
    <w:rsid w:val="6956270A"/>
    <w:rsid w:val="6AAB447B"/>
    <w:rsid w:val="6AE00FC3"/>
    <w:rsid w:val="6CCB5B97"/>
    <w:rsid w:val="6D5E70D4"/>
    <w:rsid w:val="6D701168"/>
    <w:rsid w:val="6E7D0DEF"/>
    <w:rsid w:val="6F2674F1"/>
    <w:rsid w:val="6FE67BB4"/>
    <w:rsid w:val="6FF9671F"/>
    <w:rsid w:val="701B0451"/>
    <w:rsid w:val="704B5CF4"/>
    <w:rsid w:val="70533258"/>
    <w:rsid w:val="746136AA"/>
    <w:rsid w:val="74F16D45"/>
    <w:rsid w:val="756D3130"/>
    <w:rsid w:val="7709607E"/>
    <w:rsid w:val="772F28FA"/>
    <w:rsid w:val="77E31A4A"/>
    <w:rsid w:val="783C5B7A"/>
    <w:rsid w:val="78473F2E"/>
    <w:rsid w:val="78FA2EA8"/>
    <w:rsid w:val="79785D0F"/>
    <w:rsid w:val="79DB2B9C"/>
    <w:rsid w:val="79EF3D78"/>
    <w:rsid w:val="7A0305C1"/>
    <w:rsid w:val="7A0F41B5"/>
    <w:rsid w:val="7BAE0DCF"/>
    <w:rsid w:val="7D0C3212"/>
    <w:rsid w:val="7D9B65E2"/>
    <w:rsid w:val="7E756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B12E5"/>
  <w15:chartTrackingRefBased/>
  <w15:docId w15:val="{69C54FF7-6FBF-44C5-9860-8B484F8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spacing w:before="120"/>
      <w:ind w:left="116"/>
      <w:outlineLvl w:val="0"/>
    </w:pPr>
    <w:rPr>
      <w:rFonts w:ascii="Book Antiqua" w:eastAsia="Book Antiqua" w:hAnsi="Book Antiqua" w:cs="Book Antiqua"/>
      <w:b/>
      <w:bCs/>
      <w:sz w:val="24"/>
      <w:lang w:eastAsia="en-US" w:bidi="en-U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Pr>
      <w:i w:val="0"/>
    </w:rPr>
  </w:style>
  <w:style w:type="character" w:styleId="a3">
    <w:name w:val="Hyperlink"/>
    <w:rPr>
      <w:color w:val="323232"/>
      <w:u w:val="none"/>
    </w:rPr>
  </w:style>
  <w:style w:type="character" w:styleId="HTML0">
    <w:name w:val="HTML Variable"/>
    <w:rPr>
      <w:i w:val="0"/>
    </w:rPr>
  </w:style>
  <w:style w:type="character" w:customStyle="1" w:styleId="a4">
    <w:name w:val="正文文本 字符"/>
    <w:link w:val="a5"/>
    <w:uiPriority w:val="1"/>
    <w:rPr>
      <w:rFonts w:ascii="Book Antiqua" w:eastAsia="Book Antiqua" w:hAnsi="Book Antiqua" w:cs="Book Antiqua"/>
      <w:kern w:val="2"/>
      <w:sz w:val="24"/>
      <w:szCs w:val="24"/>
      <w:lang w:eastAsia="en-US" w:bidi="en-US"/>
    </w:rPr>
  </w:style>
  <w:style w:type="character" w:styleId="a6">
    <w:name w:val="Strong"/>
    <w:qFormat/>
    <w:rPr>
      <w:b/>
      <w:i w:val="0"/>
    </w:rPr>
  </w:style>
  <w:style w:type="character" w:styleId="a7">
    <w:name w:val="FollowedHyperlink"/>
    <w:rPr>
      <w:color w:val="323232"/>
      <w:u w:val="none"/>
    </w:rPr>
  </w:style>
  <w:style w:type="character" w:styleId="a8">
    <w:name w:val="Emphasis"/>
    <w:qFormat/>
    <w:rPr>
      <w:i w:val="0"/>
    </w:rPr>
  </w:style>
  <w:style w:type="character" w:styleId="HTML1">
    <w:name w:val="HTML Definition"/>
    <w:rPr>
      <w:i w:val="0"/>
    </w:rPr>
  </w:style>
  <w:style w:type="character" w:styleId="HTML2">
    <w:name w:val="HTML Code"/>
    <w:rPr>
      <w:rFonts w:ascii="Courier New" w:hAnsi="Courier New"/>
      <w:i w:val="0"/>
      <w:sz w:val="20"/>
    </w:rPr>
  </w:style>
  <w:style w:type="character" w:customStyle="1" w:styleId="a9">
    <w:name w:val="页眉 字符"/>
    <w:link w:val="aa"/>
    <w:rPr>
      <w:rFonts w:eastAsia="宋体"/>
      <w:kern w:val="2"/>
      <w:sz w:val="18"/>
      <w:szCs w:val="18"/>
    </w:rPr>
  </w:style>
  <w:style w:type="character" w:customStyle="1" w:styleId="ab">
    <w:name w:val="标题 字符"/>
    <w:link w:val="ac"/>
    <w:rPr>
      <w:rFonts w:ascii="Calibri Light" w:hAnsi="Calibri Light" w:cs="Times New Roman"/>
      <w:b/>
      <w:bCs/>
      <w:kern w:val="2"/>
      <w:sz w:val="32"/>
      <w:szCs w:val="32"/>
    </w:rPr>
  </w:style>
  <w:style w:type="character" w:customStyle="1" w:styleId="ad">
    <w:name w:val="页脚 字符"/>
    <w:link w:val="ae"/>
    <w:uiPriority w:val="99"/>
    <w:rPr>
      <w:rFonts w:eastAsia="宋体"/>
      <w:kern w:val="2"/>
      <w:sz w:val="18"/>
      <w:szCs w:val="18"/>
    </w:rPr>
  </w:style>
  <w:style w:type="character" w:customStyle="1" w:styleId="s1">
    <w:name w:val="s1"/>
    <w:qFormat/>
  </w:style>
  <w:style w:type="paragraph" w:styleId="ac">
    <w:name w:val="Title"/>
    <w:basedOn w:val="a"/>
    <w:next w:val="a"/>
    <w:link w:val="ab"/>
    <w:qFormat/>
    <w:pPr>
      <w:spacing w:before="240" w:after="60"/>
      <w:jc w:val="center"/>
      <w:outlineLvl w:val="0"/>
    </w:pPr>
    <w:rPr>
      <w:rFonts w:ascii="Calibri Light" w:hAnsi="Calibri Light"/>
      <w:b/>
      <w:bCs/>
      <w:sz w:val="32"/>
      <w:szCs w:val="32"/>
    </w:rPr>
  </w:style>
  <w:style w:type="paragraph" w:styleId="af">
    <w:name w:val="Normal (Web)"/>
    <w:basedOn w:val="a"/>
    <w:pPr>
      <w:spacing w:before="100" w:beforeAutospacing="1" w:after="100" w:afterAutospacing="1"/>
      <w:jc w:val="left"/>
    </w:pPr>
    <w:rPr>
      <w:kern w:val="0"/>
      <w:sz w:val="24"/>
    </w:rPr>
  </w:style>
  <w:style w:type="paragraph" w:styleId="a5">
    <w:name w:val="Body Text"/>
    <w:basedOn w:val="a"/>
    <w:link w:val="a4"/>
    <w:uiPriority w:val="1"/>
    <w:qFormat/>
    <w:pPr>
      <w:ind w:left="116"/>
    </w:pPr>
    <w:rPr>
      <w:rFonts w:ascii="Book Antiqua" w:eastAsia="Book Antiqua" w:hAnsi="Book Antiqua" w:cs="Book Antiqua"/>
      <w:sz w:val="24"/>
      <w:lang w:eastAsia="en-US" w:bidi="en-US"/>
    </w:rPr>
  </w:style>
  <w:style w:type="paragraph" w:styleId="aa">
    <w:name w:val="header"/>
    <w:basedOn w:val="a"/>
    <w:link w:val="a9"/>
    <w:pPr>
      <w:pBdr>
        <w:bottom w:val="single" w:sz="6" w:space="1" w:color="auto"/>
      </w:pBdr>
      <w:tabs>
        <w:tab w:val="center" w:pos="4153"/>
        <w:tab w:val="right" w:pos="8306"/>
      </w:tabs>
      <w:snapToGrid w:val="0"/>
      <w:jc w:val="center"/>
    </w:pPr>
    <w:rPr>
      <w:sz w:val="18"/>
      <w:szCs w:val="18"/>
    </w:rPr>
  </w:style>
  <w:style w:type="paragraph" w:styleId="ae">
    <w:name w:val="footer"/>
    <w:basedOn w:val="a"/>
    <w:link w:val="ad"/>
    <w:uiPriority w:val="99"/>
    <w:pPr>
      <w:tabs>
        <w:tab w:val="center" w:pos="4153"/>
        <w:tab w:val="right" w:pos="8306"/>
      </w:tabs>
      <w:snapToGrid w:val="0"/>
      <w:jc w:val="left"/>
    </w:pPr>
    <w:rPr>
      <w:sz w:val="18"/>
      <w:szCs w:val="18"/>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Links>
    <vt:vector size="18" baseType="variant">
      <vt:variant>
        <vt:i4>3211285</vt:i4>
      </vt:variant>
      <vt:variant>
        <vt:i4>6</vt:i4>
      </vt:variant>
      <vt:variant>
        <vt:i4>0</vt:i4>
      </vt:variant>
      <vt:variant>
        <vt:i4>5</vt:i4>
      </vt:variant>
      <vt:variant>
        <vt:lpwstr>mailto:history0591@sohu.com</vt:lpwstr>
      </vt:variant>
      <vt:variant>
        <vt:lpwstr/>
      </vt:variant>
      <vt:variant>
        <vt:i4>2031736</vt:i4>
      </vt:variant>
      <vt:variant>
        <vt:i4>3</vt:i4>
      </vt:variant>
      <vt:variant>
        <vt:i4>0</vt:i4>
      </vt:variant>
      <vt:variant>
        <vt:i4>5</vt:i4>
      </vt:variant>
      <vt:variant>
        <vt:lpwstr>mailto:fuzhouseminar@163.com</vt:lpwstr>
      </vt:variant>
      <vt:variant>
        <vt:lpwstr/>
      </vt:variant>
      <vt:variant>
        <vt:i4>4259919</vt:i4>
      </vt:variant>
      <vt:variant>
        <vt:i4>0</vt:i4>
      </vt:variant>
      <vt:variant>
        <vt:i4>0</vt:i4>
      </vt:variant>
      <vt:variant>
        <vt:i4>5</vt:i4>
      </vt:variant>
      <vt:variant>
        <vt:lpwstr>https://history.la.psu.edu/directory/asg5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Xinyi Zhang</cp:lastModifiedBy>
  <cp:revision>2</cp:revision>
  <cp:lastPrinted>2019-04-24T15:41:00Z</cp:lastPrinted>
  <dcterms:created xsi:type="dcterms:W3CDTF">2019-04-26T14:27:00Z</dcterms:created>
  <dcterms:modified xsi:type="dcterms:W3CDTF">2019-04-26T14:27:00Z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